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828972bcc4744b84"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37523</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GRADSKA KNJIŽNICA VODICE</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21</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195.872,20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240.903,60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123,0</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180.158,99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220.984,08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15.713,21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19.919,52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126,8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20.821,75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21.112,84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101,4</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20.821,75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21.112,84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101,4</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5.108,54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1.193,32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23,4</w:t>
            </w:r>
          </w:p>
        </w:tc>
      </w:tr>
    </w:tbl>
    <w:p>
      <w:pPr>
        <w:spacing w:before="0" w:after="0"/>
      </w:pPr>
    </w:p>
    <w:p>
      <w:r>
        <w:t xml:space="preserve">U izvještajnom razdoblju od 01.01.2025. do 31.12.2025. prihodi poslovanja ostvareni su u iznosu 240.903,60. Najznačajniji porast prihoda je od strane nadležnog proračuna sukladno tekućem proračunskom planu, a došlo je i do povećanja tekućih i kapitalnih pomoći koje su rezultat javljanja na natječaje i sklapanja ugovora. Povećanje prihoda vidljivo je i u prihodima od pruženih usluga zbog povećanja broja članstva. U izvještajnom razdoblju od 1.01.2025. do 31.12.2025. ukupni rashodi poslovanja iznose 220.984,08. Povećanje rashoda odnosi se na zaposlene koji su rezultat povećanja osnovice, povećanje rashoda za premije osiguranja zaposlenih koje nismo imali u prošloj godini i povećanje rashoda za iznose 13. obračuna materijalnih troškova i plaće. Na kraju izvještajnog razdoblja evidentiran je manjak prihoda 1.193,32€ </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6361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Tekuće pomoći proračunskim korisnicima iz proračuna koji im nije nadležan</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153,8</w:t>
            </w:r>
          </w:p>
        </w:tc>
      </w:tr>
    </w:tbl>
    <w:p>
      <w:pPr>
        <w:spacing w:before="0" w:after="0"/>
      </w:pPr>
    </w:p>
    <w:p>
      <w:r>
        <w:t xml:space="preserve">Povećani iznos zbog odobravanja pomoći </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6615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pruženih usluga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5.445,43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7.464,39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137,1</w:t>
            </w:r>
          </w:p>
        </w:tc>
      </w:tr>
    </w:tbl>
    <w:p>
      <w:pPr>
        <w:spacing w:before="0" w:after="0"/>
      </w:pPr>
    </w:p>
    <w:p>
      <w:r>
        <w:t xml:space="preserve">Povećani broj korisnika i 13 uplata</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zaposlene (šifre 311+312+313)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143.315,77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180.149,16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125,7</w:t>
            </w:r>
          </w:p>
        </w:tc>
      </w:tr>
    </w:tbl>
    <w:p>
      <w:pPr>
        <w:spacing w:before="0" w:after="0"/>
      </w:pPr>
    </w:p>
    <w:p>
      <w:r>
        <w:t xml:space="preserve">Zbog povećanja osnovice i knjiženja 13. plaće</w:t>
      </w:r>
    </w:p>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Službena putovanja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284,40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948,0</w:t>
            </w:r>
          </w:p>
        </w:tc>
      </w:tr>
    </w:tbl>
    <w:p>
      <w:pPr>
        <w:spacing w:before="0" w:after="0"/>
      </w:pPr>
    </w:p>
    <w:p>
      <w:r>
        <w:t xml:space="preserve">U prošloj godini isplaćena je samo jedna dnevnica pa je u postotku povećanje veliko</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Naknade za prijevoz, za rad na terenu i odvojeni život</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1.032,90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770,00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74,5</w:t>
            </w:r>
          </w:p>
        </w:tc>
      </w:tr>
    </w:tbl>
    <w:p>
      <w:pPr>
        <w:spacing w:before="0" w:after="0"/>
      </w:pPr>
    </w:p>
    <w:p>
      <w:r>
        <w:t xml:space="preserve">Došlo je do smanjenja cijene putne karte</w:t>
      </w:r>
    </w:p>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Ostale naknade troškova zaposlenima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304,00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83,60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27,5</w:t>
            </w:r>
          </w:p>
        </w:tc>
      </w:tr>
    </w:tbl>
    <w:p>
      <w:pPr>
        <w:spacing w:before="0" w:after="0"/>
      </w:pPr>
    </w:p>
    <w:p>
      <w:r>
        <w:t xml:space="preserve">Manje je bilo korištenja privatnog vozila u službene svrhe</w:t>
      </w:r>
    </w:p>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Energija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4.664,49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5.758,91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123,5</w:t>
            </w:r>
          </w:p>
        </w:tc>
      </w:tr>
    </w:tbl>
    <w:p>
      <w:pPr>
        <w:spacing w:before="0" w:after="0"/>
      </w:pPr>
    </w:p>
    <w:p>
      <w:r>
        <w:t xml:space="preserve">Povećani računi za energiju zbog 13 računa koji su ušli u obračunsko razdoblje</w:t>
      </w:r>
    </w:p>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telefona, interneta, pošte i prijevoza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1.001,22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1.587,08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158,5</w:t>
            </w:r>
          </w:p>
        </w:tc>
      </w:tr>
    </w:tbl>
    <w:p>
      <w:pPr>
        <w:spacing w:before="0" w:after="0"/>
      </w:pPr>
    </w:p>
    <w:p>
      <w:r>
        <w:t xml:space="preserve">Zbog povećanja cijena i 13. računa koji su ušli u obračunsko razdoblje</w:t>
      </w:r>
    </w:p>
    <w:p/>
    <w:p>
      <w:pPr>
        <w:jc w:val="center"/>
        <w:pStyle w:val="Normal"/>
        <w:spacing w:line="240" w:lineRule="auto"/>
        <w:keepNext/>
      </w:pPr>
      <w:r>
        <w:rPr>
          <w:sz w:val="28"/>
          <w:rFonts w:ascii="Times New Roman" w:hAnsi="Times New Roman"/>
        </w:rPr>
        <w:t xml:space="preserve">Bilješka 10.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tekućeg i investicijskog održavanja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5.107,80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7.186,22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140,7</w:t>
            </w:r>
          </w:p>
        </w:tc>
      </w:tr>
    </w:tbl>
    <w:p>
      <w:pPr>
        <w:spacing w:before="0" w:after="0"/>
      </w:pPr>
    </w:p>
    <w:p>
      <w:r>
        <w:t xml:space="preserve">Zbog 13. računa koji su ušli u obračunsko razdoblje</w:t>
      </w:r>
    </w:p>
    <w:p/>
    <w:p>
      <w:pPr>
        <w:jc w:val="center"/>
        <w:pStyle w:val="Normal"/>
        <w:spacing w:line="240" w:lineRule="auto"/>
        <w:keepNext/>
      </w:pPr>
      <w:r>
        <w:rPr>
          <w:sz w:val="28"/>
          <w:rFonts w:ascii="Times New Roman" w:hAnsi="Times New Roman"/>
        </w:rPr>
        <w:t xml:space="preserve">Bilješka 11.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promidžbe i informiranja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531,00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885,0</w:t>
            </w:r>
          </w:p>
        </w:tc>
      </w:tr>
    </w:tbl>
    <w:p>
      <w:pPr>
        <w:spacing w:before="0" w:after="0"/>
      </w:pPr>
    </w:p>
    <w:p>
      <w:r>
        <w:t xml:space="preserve">Iako se radi o velikom postotku, riječ je o većem izdvajanju za usluge promidžbe sukladno odobrenom planu proračuna</w:t>
      </w:r>
    </w:p>
    <w:p/>
    <w:p>
      <w:pPr>
        <w:jc w:val="center"/>
        <w:pStyle w:val="Normal"/>
        <w:spacing w:line="240" w:lineRule="auto"/>
        <w:keepNext/>
      </w:pPr>
      <w:r>
        <w:rPr>
          <w:sz w:val="28"/>
          <w:rFonts w:ascii="Times New Roman" w:hAnsi="Times New Roman"/>
        </w:rPr>
        <w:t xml:space="preserve">Bilješka 12.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Intelektualne i osobne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14.536,72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12.754,63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87,7</w:t>
            </w:r>
          </w:p>
        </w:tc>
      </w:tr>
    </w:tbl>
    <w:p>
      <w:pPr>
        <w:spacing w:before="0" w:after="0"/>
      </w:pPr>
    </w:p>
    <w:p>
      <w:r>
        <w:t xml:space="preserve">Manja izdvajanja zbog smanjenog broja Ugovora o djelu</w:t>
      </w:r>
    </w:p>
    <w:p/>
    <w:p>
      <w:pPr>
        <w:jc w:val="center"/>
        <w:pStyle w:val="Normal"/>
        <w:spacing w:line="240" w:lineRule="auto"/>
        <w:keepNext/>
      </w:pPr>
      <w:r>
        <w:rPr>
          <w:sz w:val="28"/>
          <w:rFonts w:ascii="Times New Roman" w:hAnsi="Times New Roman"/>
        </w:rPr>
        <w:t xml:space="preserve">Bilješka 13.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Premije osiguranja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371,25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1.541,25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415,2</w:t>
            </w:r>
          </w:p>
        </w:tc>
      </w:tr>
    </w:tbl>
    <w:p>
      <w:pPr>
        <w:spacing w:before="0" w:after="0"/>
      </w:pPr>
    </w:p>
    <w:p>
      <w:r>
        <w:t xml:space="preserve">U prošloj godini nije bilo premije osiguranja zaposlenih pa je u 2025. iznos veći za račun premije osiguranja zaposlenih</w:t>
      </w:r>
    </w:p>
    <w:p/>
    <w:p>
      <w:pPr>
        <w:jc w:val="center"/>
        <w:pStyle w:val="Normal"/>
        <w:spacing w:line="240" w:lineRule="auto"/>
        <w:keepNext/>
      </w:pPr>
      <w:r>
        <w:rPr>
          <w:sz w:val="28"/>
          <w:rFonts w:ascii="Times New Roman" w:hAnsi="Times New Roman"/>
        </w:rPr>
        <w:t xml:space="preserve">Bilješka 14.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Reprezentacija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716,85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1.106,07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154,3</w:t>
            </w:r>
          </w:p>
        </w:tc>
      </w:tr>
    </w:tbl>
    <w:p>
      <w:pPr>
        <w:spacing w:before="0" w:after="0"/>
      </w:pPr>
    </w:p>
    <w:p>
      <w:r>
        <w:t xml:space="preserve">Povećani iznosi za reprezentaciju rezultat su više održanih predstavljanja knjiga i radionica koje je popratio i trošak reprezentacije</w:t>
      </w:r>
    </w:p>
    <w:p/>
    <w:p>
      <w:pPr>
        <w:jc w:val="center"/>
        <w:pStyle w:val="Normal"/>
        <w:spacing w:line="240" w:lineRule="auto"/>
        <w:keepNext/>
      </w:pPr>
      <w:r>
        <w:rPr>
          <w:sz w:val="28"/>
          <w:rFonts w:ascii="Times New Roman" w:hAnsi="Times New Roman"/>
        </w:rPr>
        <w:t xml:space="preserve">Bilješka 15.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nespomenuti rashodi poslovanja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71,73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279,00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389,0</w:t>
            </w:r>
          </w:p>
        </w:tc>
      </w:tr>
    </w:tbl>
    <w:p>
      <w:pPr>
        <w:spacing w:before="0" w:after="0"/>
      </w:pPr>
    </w:p>
    <w:p>
      <w:r>
        <w:t xml:space="preserve">Iako je veliki postotak ne radi se o velikom iznosu. Došlo je do troškova koji se nisu proteklih godina obavljali pa su obavljeni u 2025.</w:t>
      </w:r>
    </w:p>
    <w:p/>
    <w:p>
      <w:pPr>
        <w:jc w:val="center"/>
        <w:pStyle w:val="Normal"/>
        <w:spacing w:line="240" w:lineRule="auto"/>
        <w:keepNext/>
      </w:pPr>
      <w:r>
        <w:rPr>
          <w:sz w:val="28"/>
          <w:rFonts w:ascii="Times New Roman" w:hAnsi="Times New Roman"/>
        </w:rPr>
        <w:t xml:space="preserve">Bilješka 16.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financijski rashodi (šifre 3431 do 3434)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526,56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623,88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118,5</w:t>
            </w:r>
          </w:p>
        </w:tc>
      </w:tr>
    </w:tbl>
    <w:p>
      <w:pPr>
        <w:spacing w:before="0" w:after="0"/>
      </w:pPr>
    </w:p>
    <w:p>
      <w:r>
        <w:t xml:space="preserve">Zbog 13. rashoda</w:t>
      </w:r>
    </w:p>
    <w:p/>
    <w:p>
      <w:pPr>
        <w:jc w:val="center"/>
        <w:pStyle w:val="Normal"/>
        <w:spacing w:line="240" w:lineRule="auto"/>
        <w:keepNext/>
      </w:pPr>
      <w:r>
        <w:rPr>
          <w:sz w:val="28"/>
          <w:rFonts w:ascii="Times New Roman" w:hAnsi="Times New Roman"/>
        </w:rPr>
        <w:t xml:space="preserve">Bilješka 17.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11-potraž.</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Ukupni odljevi s novčanih računa i blagajni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11-potraž.</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211.781,60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251.511,40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118,8</w:t>
            </w:r>
          </w:p>
        </w:tc>
      </w:tr>
    </w:tbl>
    <w:p>
      <w:pPr>
        <w:spacing w:before="0" w:after="0"/>
      </w:pPr>
    </w:p>
    <w:p>
      <w:r>
        <w:t xml:space="preserve">Prijenos sredstava u riznicu</w:t>
      </w:r>
    </w:p>
    <w:p/>
    <w:p>
      <w:pPr>
        <w:jc w:val="center"/>
        <w:pStyle w:val="Normal"/>
        <w:spacing w:line="240" w:lineRule="auto"/>
        <w:keepNext/>
      </w:pPr>
      <w:r>
        <w:rPr>
          <w:sz w:val="28"/>
          <w:rFonts w:ascii="Times New Roman" w:hAnsi="Times New Roman"/>
        </w:rPr>
        <w:t xml:space="preserve">Bilješka 18.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Autorski honorari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2.687,45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1.061,09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39,5</w:t>
            </w:r>
          </w:p>
        </w:tc>
      </w:tr>
    </w:tbl>
    <w:p>
      <w:pPr>
        <w:spacing w:before="0" w:after="0"/>
      </w:pPr>
    </w:p>
    <w:p>
      <w:r>
        <w:t xml:space="preserve">Manji broj autorskih honorara zbog angažiranja više ugovora o djelu</w:t>
      </w:r>
    </w:p>
    <w:p/>
    <w:p>
      <w:pPr>
        <w:jc w:val="center"/>
        <w:pStyle w:val="Normal"/>
        <w:spacing w:line="240" w:lineRule="auto"/>
        <w:keepNext/>
      </w:pPr>
      <w:r>
        <w:rPr>
          <w:sz w:val="28"/>
          <w:rFonts w:ascii="Times New Roman" w:hAnsi="Times New Roman"/>
        </w:rPr>
        <w:t xml:space="preserve">Bilješka 19.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agencija, studentskog servisa (prijepisi, prijevodi i drugo)</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4.145,00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U 2025. nije bilo ove vrste troškova</w:t>
      </w:r>
    </w:p>
    <w:p/>
    <w:p>
      <w:pPr>
        <w:jc w:val="center"/>
        <w:pStyle w:val="Normal"/>
        <w:spacing w:line="240" w:lineRule="auto"/>
        <w:keepNext/>
      </w:pPr>
      <w:r>
        <w:rPr>
          <w:b/>
          <w:sz w:val="28"/>
          <w:rFonts w:ascii="Times New Roman" w:hAnsi="Times New Roman"/>
        </w:rPr>
        <w:t xml:space="preserve">Bilanca</w:t>
      </w:r>
    </w:p>
    <w:p>
      <w:pPr>
        <w:jc w:val="center"/>
        <w:pStyle w:val="Normal"/>
        <w:spacing w:line="240" w:lineRule="auto"/>
        <w:keepNext/>
      </w:pPr>
      <w:r>
        <w:rPr>
          <w:sz w:val="28"/>
          <w:rFonts w:ascii="Times New Roman" w:hAnsi="Times New Roman"/>
        </w:rPr>
        <w:t xml:space="preserve">Bilješka 20.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0262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Ulaganja u računalne programe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1.077,07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1.495,27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138,8</w:t>
            </w:r>
          </w:p>
        </w:tc>
      </w:tr>
    </w:tbl>
    <w:p>
      <w:pPr>
        <w:spacing w:before="0" w:after="0"/>
      </w:pPr>
    </w:p>
    <w:p>
      <w:r>
        <w:t xml:space="preserve">Zbog nabave novih računala</w:t>
      </w:r>
    </w:p>
    <w:p/>
    <w:p>
      <w:pPr>
        <w:jc w:val="center"/>
        <w:pStyle w:val="Normal"/>
        <w:spacing w:line="240" w:lineRule="auto"/>
        <w:keepNext/>
      </w:pPr>
      <w:r>
        <w:rPr>
          <w:sz w:val="28"/>
          <w:rFonts w:ascii="Times New Roman" w:hAnsi="Times New Roman"/>
        </w:rPr>
        <w:t xml:space="preserve">Bilješka 21.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budućih razdoblja i nedospjela naplata prihoda (aktivna vremenska razgraničenja) (šifre 191 do 193)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13.579,46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16.583,45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122,1</w:t>
            </w:r>
          </w:p>
        </w:tc>
      </w:tr>
    </w:tbl>
    <w:p>
      <w:pPr>
        <w:spacing w:before="0" w:after="0"/>
      </w:pPr>
    </w:p>
    <w:p>
      <w:r>
        <w:t xml:space="preserve">Zbog korištenja nedospjele uplate prihoda</w:t>
      </w:r>
    </w:p>
    <w:p/>
    <w:p>
      <w:pPr>
        <w:jc w:val="center"/>
        <w:pStyle w:val="Normal"/>
        <w:spacing w:line="240" w:lineRule="auto"/>
        <w:keepNext/>
      </w:pPr>
      <w:r>
        <w:rPr>
          <w:sz w:val="28"/>
          <w:rFonts w:ascii="Times New Roman" w:hAnsi="Times New Roman"/>
        </w:rPr>
        <w:t xml:space="preserve">Bilješka 22.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231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Obveze za zaposlene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231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12.323,41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15.612,21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126,7</w:t>
            </w:r>
          </w:p>
        </w:tc>
      </w:tr>
    </w:tbl>
    <w:p>
      <w:pPr>
        <w:spacing w:before="0" w:after="0"/>
      </w:pPr>
    </w:p>
    <w:p>
      <w:r>
        <w:t xml:space="preserve">Povećanje osnovice i zapošljavanje djelatnice VSS</w:t>
      </w:r>
    </w:p>
    <w:p/>
    <w:p>
      <w:pPr>
        <w:jc w:val="center"/>
        <w:pStyle w:val="Normal"/>
        <w:spacing w:line="240" w:lineRule="auto"/>
        <w:keepNext/>
      </w:pPr>
      <w:r>
        <w:rPr>
          <w:sz w:val="28"/>
          <w:rFonts w:ascii="Times New Roman" w:hAnsi="Times New Roman"/>
        </w:rPr>
        <w:t xml:space="preserve">Bilješka 23.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Višak prihoda poslovanja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11.055,24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37.300,37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337,4</w:t>
            </w:r>
          </w:p>
        </w:tc>
      </w:tr>
    </w:tbl>
    <w:p>
      <w:pPr>
        <w:spacing w:before="0" w:after="0"/>
      </w:pPr>
    </w:p>
    <w:p>
      <w:r>
        <w:t xml:space="preserve">Posebno iskazan višak i manjak</w:t>
      </w:r>
    </w:p>
    <w:p/>
    <w:p>
      <w:pPr>
        <w:jc w:val="center"/>
        <w:pStyle w:val="Normal"/>
        <w:spacing w:line="240" w:lineRule="auto"/>
        <w:keepNext/>
      </w:pPr>
      <w:r>
        <w:rPr>
          <w:b/>
          <w:sz w:val="28"/>
          <w:rFonts w:ascii="Times New Roman" w:hAnsi="Times New Roman"/>
        </w:rPr>
        <w:t xml:space="preserve">Izvještaj o rashodima prema funkcijskoj klasifikaciji</w:t>
      </w:r>
    </w:p>
    <w:p>
      <w:pPr>
        <w:jc w:val="center"/>
        <w:pStyle w:val="Normal"/>
        <w:spacing w:line="240" w:lineRule="auto"/>
        <w:keepNext/>
      </w:pPr>
      <w:r>
        <w:rPr>
          <w:sz w:val="28"/>
          <w:rFonts w:ascii="Times New Roman" w:hAnsi="Times New Roman"/>
        </w:rPr>
        <w:t xml:space="preserve">Bilješka 24.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Rekreacija, kultura i religija (šifre 081 do 086)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200.980,74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242.096,92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120,5</w:t>
            </w:r>
          </w:p>
        </w:tc>
      </w:tr>
    </w:tbl>
    <w:p>
      <w:pPr>
        <w:spacing w:before="0" w:after="0"/>
      </w:pPr>
    </w:p>
    <w:p>
      <w:r>
        <w:t xml:space="preserve">Raščlanjeno u PR RAS i Bilanci</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25.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971,27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Troškovi za prosinac koji će biti podmireni u siječnju</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bf6fbdd8661e4258" /></Relationships>
</file>